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308731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issues of R17 MG enhancement</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5.2.10.3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RAN4 106 meeting, RAN4 has some discussion around re</w:t>
      </w:r>
      <w:bookmarkStart w:id="0" w:name="_GoBack"/>
      <w:bookmarkEnd w:id="0"/>
      <w:r>
        <w:rPr>
          <w:rFonts w:hint="eastAsia" w:eastAsia="宋体"/>
          <w:color w:val="auto"/>
          <w:sz w:val="20"/>
          <w:szCs w:val="20"/>
          <w:lang w:val="en-US" w:eastAsia="zh-CN"/>
        </w:rPr>
        <w:t>maining R17 MG enhancement focus on NCSG and Con-MG. Some agreements were achieved in [1]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numPr>
                <w:ilvl w:val="0"/>
                <w:numId w:val="0"/>
              </w:numPr>
              <w:ind w:left="432" w:hanging="432"/>
              <w:rPr>
                <w:sz w:val="28"/>
                <w:szCs w:val="28"/>
              </w:rPr>
            </w:pPr>
            <w:r>
              <w:rPr>
                <w:sz w:val="28"/>
                <w:szCs w:val="28"/>
              </w:rPr>
              <w:t xml:space="preserve">Topic #1: </w:t>
            </w:r>
            <w:r>
              <w:rPr>
                <w:rFonts w:hint="eastAsia"/>
                <w:sz w:val="28"/>
                <w:szCs w:val="28"/>
                <w:lang w:eastAsia="zh-CN"/>
              </w:rPr>
              <w:t>NCSG</w:t>
            </w:r>
          </w:p>
          <w:p>
            <w:pPr>
              <w:rPr>
                <w:b/>
                <w:lang w:val="en-US"/>
              </w:rPr>
            </w:pPr>
            <w:r>
              <w:rPr>
                <w:b/>
                <w:lang w:val="en-US"/>
              </w:rPr>
              <w:t>Issue 1-1: Overlap between SMTC and NCSG for measurement without MG</w:t>
            </w:r>
          </w:p>
          <w:p>
            <w:pPr>
              <w:pStyle w:val="28"/>
              <w:numPr>
                <w:ilvl w:val="0"/>
                <w:numId w:val="4"/>
              </w:numPr>
              <w:overflowPunct/>
              <w:autoSpaceDE/>
              <w:autoSpaceDN/>
              <w:adjustRightInd/>
              <w:spacing w:after="120"/>
              <w:ind w:left="720" w:firstLineChars="0"/>
              <w:textAlignment w:val="auto"/>
              <w:rPr>
                <w:color w:val="0070C0"/>
              </w:rPr>
            </w:pPr>
            <w:r>
              <w:rPr>
                <w:color w:val="0070C0"/>
              </w:rPr>
              <w:t xml:space="preserve">Agreement </w:t>
            </w:r>
          </w:p>
          <w:p>
            <w:pPr>
              <w:pStyle w:val="28"/>
              <w:numPr>
                <w:ilvl w:val="1"/>
                <w:numId w:val="4"/>
              </w:numPr>
              <w:ind w:firstLineChars="0"/>
            </w:pPr>
            <w:r>
              <w:t xml:space="preserve">keep the current assumption of no simultaneous measurement within NCSG (i.e. measurement without MG performed in NCSG simultaneously with other measurements to be performed with NCSG) for Rel-17 </w:t>
            </w:r>
          </w:p>
          <w:p>
            <w:pPr>
              <w:pStyle w:val="28"/>
              <w:numPr>
                <w:ilvl w:val="1"/>
                <w:numId w:val="4"/>
              </w:numPr>
              <w:ind w:firstLineChars="0"/>
            </w:pPr>
            <w:r>
              <w:t>FFS whether simultaneous measurement within NCSG (i.e. measurement without MG performed in NCSG simultaneously with other measurements to be performed with NCSG) is supported for Rel-18.</w:t>
            </w:r>
          </w:p>
          <w:p>
            <w:pPr>
              <w:rPr>
                <w:b/>
                <w:lang w:val="en-US"/>
              </w:rPr>
            </w:pPr>
            <w:r>
              <w:rPr>
                <w:b/>
                <w:lang w:val="en-US"/>
              </w:rPr>
              <w:t>Issue 1-2: Requirements for inter-frequency measurement without MG</w:t>
            </w:r>
          </w:p>
          <w:p>
            <w:pPr>
              <w:pStyle w:val="28"/>
              <w:numPr>
                <w:ilvl w:val="0"/>
                <w:numId w:val="4"/>
              </w:numPr>
              <w:overflowPunct/>
              <w:autoSpaceDE/>
              <w:autoSpaceDN/>
              <w:adjustRightInd/>
              <w:spacing w:after="120"/>
              <w:ind w:left="720" w:firstLineChars="0"/>
              <w:textAlignment w:val="auto"/>
              <w:rPr>
                <w:color w:val="0070C0"/>
              </w:rPr>
            </w:pPr>
            <w:r>
              <w:rPr>
                <w:color w:val="0070C0"/>
              </w:rPr>
              <w:t xml:space="preserve">Agreement </w:t>
            </w:r>
          </w:p>
          <w:p>
            <w:pPr>
              <w:pStyle w:val="28"/>
              <w:numPr>
                <w:ilvl w:val="1"/>
                <w:numId w:val="4"/>
              </w:numPr>
              <w:spacing w:after="120"/>
              <w:ind w:firstLineChars="0"/>
            </w:pPr>
            <w:r>
              <w:t xml:space="preserve">For inter-frequency without MG (cl. 9.3.9), define separate NW sync assumption and number of samples for </w:t>
            </w:r>
          </w:p>
          <w:p>
            <w:pPr>
              <w:pStyle w:val="28"/>
              <w:numPr>
                <w:ilvl w:val="2"/>
                <w:numId w:val="4"/>
              </w:numPr>
              <w:spacing w:after="120"/>
              <w:ind w:firstLineChars="0"/>
            </w:pPr>
            <w:r>
              <w:t xml:space="preserve">Scenario 1, where inter-frequency SSB is within UE active BWP, and </w:t>
            </w:r>
          </w:p>
          <w:p>
            <w:pPr>
              <w:pStyle w:val="28"/>
              <w:numPr>
                <w:ilvl w:val="2"/>
                <w:numId w:val="4"/>
              </w:numPr>
              <w:overflowPunct/>
              <w:autoSpaceDE/>
              <w:autoSpaceDN/>
              <w:adjustRightInd/>
              <w:spacing w:after="120"/>
              <w:ind w:firstLineChars="0"/>
              <w:textAlignment w:val="auto"/>
              <w:rPr>
                <w:rFonts w:hint="eastAsia" w:eastAsia="宋体"/>
                <w:color w:val="auto"/>
                <w:sz w:val="20"/>
                <w:szCs w:val="20"/>
                <w:vertAlign w:val="baseline"/>
                <w:lang w:val="en-US" w:eastAsia="zh-CN"/>
              </w:rPr>
            </w:pPr>
            <w:r>
              <w:t>Scenario 2, where UE indicates ‘nogap-noncsg’ for the inter-frequency measurement.</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While still some open issues are suspending. In this document, we provide our view on the suspending issues.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default"/>
          <w:sz w:val="28"/>
          <w:szCs w:val="28"/>
          <w:lang w:val="en-US" w:eastAsia="zh-CN"/>
        </w:rPr>
      </w:pPr>
      <w:r>
        <w:rPr>
          <w:rFonts w:hint="eastAsia"/>
          <w:sz w:val="28"/>
          <w:szCs w:val="28"/>
          <w:lang w:val="en-US" w:eastAsia="zh-CN"/>
        </w:rPr>
        <w:t>2.1 Concurrent MGs</w:t>
      </w:r>
    </w:p>
    <w:p>
      <w:pPr>
        <w:pStyle w:val="4"/>
        <w:rPr>
          <w:rFonts w:hint="eastAsia" w:eastAsia="宋体"/>
          <w:color w:val="auto"/>
          <w:sz w:val="20"/>
          <w:szCs w:val="20"/>
          <w:u w:val="single"/>
          <w:lang w:val="en-US" w:eastAsia="zh-CN"/>
        </w:rPr>
      </w:pPr>
      <w:r>
        <w:rPr>
          <w:rFonts w:hint="eastAsia" w:eastAsia="宋体"/>
          <w:color w:val="auto"/>
          <w:sz w:val="20"/>
          <w:szCs w:val="20"/>
          <w:u w:val="single"/>
          <w:lang w:val="en-US" w:eastAsia="zh-CN"/>
        </w:rPr>
        <w:t>MO associated with a MG but measured without MG</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this issue, for an MO that can be measured outside MG and associated with an MG, it is still FFS between the following two options: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spacing w:after="120"/>
              <w:ind w:left="516" w:leftChars="0" w:hanging="360" w:firstLineChars="0"/>
            </w:pPr>
            <w:r>
              <w:t>Option 1: the MO is always measured within the associated MG</w:t>
            </w:r>
          </w:p>
          <w:p>
            <w:pPr>
              <w:pStyle w:val="28"/>
              <w:numPr>
                <w:ilvl w:val="0"/>
                <w:numId w:val="4"/>
              </w:numPr>
              <w:spacing w:after="120"/>
              <w:ind w:left="516" w:leftChars="0" w:hanging="360" w:firstLineChars="0"/>
              <w:rPr>
                <w:rFonts w:hint="default" w:eastAsia="宋体"/>
                <w:color w:val="auto"/>
                <w:sz w:val="20"/>
                <w:szCs w:val="20"/>
                <w:vertAlign w:val="baseline"/>
                <w:lang w:val="en-US" w:eastAsia="zh-CN"/>
              </w:rPr>
            </w:pPr>
            <w:r>
              <w:t>Option 2: the MO is measured within the associated MG only when it needs to be measured with MG</w:t>
            </w:r>
          </w:p>
        </w:tc>
      </w:tr>
    </w:tbl>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To our understand, such MO is also possible and allowed in legacy R15/16. No matter in legacy R15/16 or in R17 Concurrent MGs, the MO which can be measured outside MG is always possible. Even MG is configured, it does not mean all MOs should be measurement in MG. In legacy R15/16, only one MG is configured, so no need to explicitly configure the association between MOs and MG, since it can be seen that all MOs are associated to the single MG. While for the MOs can be measured outside MG, not any restriction saying that the MO should always be measured within the MG. So this principle is also applicable to R17 Concurrent MGs. For the MO that can be measured outside MG but associated with an MG, the MO is measured within the associated MG only when it needs to be measured with MG. </w:t>
      </w:r>
    </w:p>
    <w:p>
      <w:pPr>
        <w:pStyle w:val="4"/>
        <w:rPr>
          <w:rFonts w:hint="default" w:eastAsia="宋体"/>
          <w:color w:val="auto"/>
          <w:sz w:val="20"/>
          <w:szCs w:val="20"/>
          <w:lang w:val="en-US" w:eastAsia="zh-CN"/>
        </w:rPr>
      </w:pPr>
      <w:r>
        <w:rPr>
          <w:rFonts w:hint="eastAsia" w:eastAsia="宋体"/>
          <w:color w:val="auto"/>
          <w:sz w:val="20"/>
          <w:szCs w:val="20"/>
          <w:lang w:val="en-US" w:eastAsia="zh-CN"/>
        </w:rPr>
        <w:t>Furthermore, we believe no need to additional clarify this in the spec since which is aligned with legacy R15/16. We can not see any spec impact.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MO that can be measured outside MG and associated with an MG, the MO is measured within the associated MG only when it needs to be measured with MG. Furthermore, since align with legacy R15/16, no spec impact.</w:t>
      </w:r>
    </w:p>
    <w:p>
      <w:pPr>
        <w:pStyle w:val="4"/>
        <w:rPr>
          <w:rFonts w:hint="eastAsia" w:eastAsia="宋体"/>
          <w:color w:val="auto"/>
          <w:sz w:val="20"/>
          <w:szCs w:val="20"/>
          <w:u w:val="single"/>
          <w:lang w:val="en-US" w:eastAsia="zh-CN"/>
        </w:rPr>
      </w:pPr>
      <w:r>
        <w:rPr>
          <w:rFonts w:hint="eastAsia" w:eastAsia="宋体"/>
          <w:color w:val="auto"/>
          <w:sz w:val="20"/>
          <w:szCs w:val="20"/>
          <w:u w:val="single"/>
          <w:lang w:val="en-US" w:eastAsia="zh-CN"/>
        </w:rPr>
        <w:t>MO fully overlapping with the union of the MG1 and MG2</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this issue, the following way forward is concluded in 106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0"/>
              </w:numPr>
              <w:rPr>
                <w:color w:val="0070C0"/>
                <w:highlight w:val="green"/>
              </w:rPr>
            </w:pPr>
            <w:r>
              <w:rPr>
                <w:rFonts w:hint="eastAsia" w:eastAsia="宋体"/>
                <w:color w:val="0070C0"/>
                <w:highlight w:val="none"/>
                <w:lang w:val="en-US" w:eastAsia="zh-CN"/>
              </w:rPr>
              <w:t>Way forward</w:t>
            </w:r>
            <w:r>
              <w:rPr>
                <w:color w:val="0070C0"/>
                <w:highlight w:val="none"/>
              </w:rPr>
              <w:t xml:space="preserve"> </w:t>
            </w:r>
          </w:p>
          <w:p>
            <w:pPr>
              <w:pStyle w:val="28"/>
              <w:numPr>
                <w:ilvl w:val="0"/>
                <w:numId w:val="4"/>
              </w:numPr>
              <w:overflowPunct w:val="0"/>
              <w:autoSpaceDE w:val="0"/>
              <w:autoSpaceDN w:val="0"/>
              <w:adjustRightInd w:val="0"/>
              <w:ind w:left="1236" w:leftChars="0"/>
              <w:textAlignment w:val="baseline"/>
              <w:rPr>
                <w:highlight w:val="none"/>
              </w:rPr>
            </w:pPr>
            <w:r>
              <w:rPr>
                <w:highlight w:val="none"/>
              </w:rPr>
              <w:t>the MO should be measured within the associated MG in the following cases,</w:t>
            </w:r>
          </w:p>
          <w:p>
            <w:pPr>
              <w:pStyle w:val="28"/>
              <w:numPr>
                <w:ilvl w:val="0"/>
                <w:numId w:val="4"/>
              </w:numPr>
              <w:overflowPunct w:val="0"/>
              <w:autoSpaceDE w:val="0"/>
              <w:autoSpaceDN w:val="0"/>
              <w:adjustRightInd w:val="0"/>
              <w:ind w:left="1536" w:leftChars="0"/>
              <w:textAlignment w:val="baseline"/>
              <w:rPr>
                <w:highlight w:val="none"/>
              </w:rPr>
            </w:pPr>
            <w:r>
              <w:rPr>
                <w:highlight w:val="none"/>
              </w:rPr>
              <w:t>When a MO is fully overlapping with the associated MG, or</w:t>
            </w:r>
          </w:p>
          <w:p>
            <w:pPr>
              <w:pStyle w:val="28"/>
              <w:numPr>
                <w:ilvl w:val="0"/>
                <w:numId w:val="4"/>
              </w:numPr>
              <w:overflowPunct w:val="0"/>
              <w:autoSpaceDE w:val="0"/>
              <w:autoSpaceDN w:val="0"/>
              <w:adjustRightInd w:val="0"/>
              <w:ind w:left="1536" w:leftChars="0"/>
              <w:textAlignment w:val="baseline"/>
              <w:rPr>
                <w:highlight w:val="none"/>
              </w:rPr>
            </w:pPr>
            <w:r>
              <w:rPr>
                <w:rFonts w:hint="eastAsia"/>
                <w:highlight w:val="none"/>
              </w:rPr>
              <w:t>FFS:</w:t>
            </w:r>
            <w:r>
              <w:rPr>
                <w:highlight w:val="none"/>
              </w:rPr>
              <w:t xml:space="preserve"> When a MO is partially overlapping with the associated MG and fully overlapping with the union of the ConMGs.</w:t>
            </w:r>
          </w:p>
          <w:p>
            <w:pPr>
              <w:pStyle w:val="28"/>
              <w:numPr>
                <w:ilvl w:val="0"/>
                <w:numId w:val="4"/>
              </w:numPr>
              <w:overflowPunct w:val="0"/>
              <w:autoSpaceDE w:val="0"/>
              <w:autoSpaceDN w:val="0"/>
              <w:adjustRightInd w:val="0"/>
              <w:ind w:left="1236" w:leftChars="0"/>
              <w:textAlignment w:val="baseline"/>
              <w:rPr>
                <w:rFonts w:hint="default" w:eastAsia="宋体"/>
                <w:color w:val="auto"/>
                <w:sz w:val="20"/>
                <w:szCs w:val="20"/>
                <w:vertAlign w:val="baseline"/>
                <w:lang w:val="en-US" w:eastAsia="zh-CN"/>
              </w:rPr>
            </w:pPr>
            <w:r>
              <w:rPr>
                <w:rFonts w:hint="eastAsia" w:ascii="Calibri" w:hAnsi="Calibri" w:eastAsia="宋体" w:cs="Times New Roman"/>
                <w:kern w:val="2"/>
                <w:sz w:val="21"/>
                <w:szCs w:val="22"/>
                <w:highlight w:val="none"/>
                <w:lang w:val="en-US" w:eastAsia="zh-CN" w:bidi="ar-SA"/>
              </w:rPr>
              <w:t>W</w:t>
            </w:r>
            <w:r>
              <w:rPr>
                <w:rFonts w:ascii="Calibri" w:hAnsi="Calibri" w:eastAsia="宋体" w:cs="Times New Roman"/>
                <w:kern w:val="2"/>
                <w:sz w:val="21"/>
                <w:szCs w:val="22"/>
                <w:highlight w:val="none"/>
                <w:lang w:val="en-US" w:eastAsia="zh-CN" w:bidi="ar-SA"/>
              </w:rPr>
              <w:t>hether to clarify this in spec is FFS</w:t>
            </w:r>
          </w:p>
        </w:tc>
      </w:tr>
    </w:tbl>
    <w:p>
      <w:pPr>
        <w:pStyle w:val="4"/>
        <w:rPr>
          <w:rFonts w:hint="default" w:eastAsia="宋体"/>
          <w:color w:val="auto"/>
          <w:sz w:val="20"/>
          <w:szCs w:val="20"/>
          <w:lang w:val="en-US" w:eastAsia="zh-CN"/>
        </w:rPr>
      </w:pPr>
    </w:p>
    <w:p>
      <w:pPr>
        <w:pStyle w:val="4"/>
        <w:rPr>
          <w:rFonts w:hint="eastAsia" w:eastAsia="宋体"/>
          <w:color w:val="auto"/>
          <w:sz w:val="20"/>
          <w:szCs w:val="20"/>
          <w:lang w:val="en-US" w:eastAsia="zh-CN"/>
        </w:rPr>
      </w:pPr>
      <w:r>
        <w:rPr>
          <w:rFonts w:hint="eastAsia" w:eastAsia="宋体"/>
          <w:color w:val="auto"/>
          <w:sz w:val="20"/>
          <w:szCs w:val="20"/>
          <w:lang w:val="en-US" w:eastAsia="zh-CN"/>
        </w:rPr>
        <w:t>For the case of an MO fully overlapping with the union of the MG1 and MG2, whether need some additional clarification was discussed in 106 meeting. To our understand, for an MO which needs to be measured within MG, whether the MO can be measured, which only depends on the associated MG, not any relation to the other MG. Therefore, the MO can be measured only when the MO occasion is fully overlapping with the associated MG occasion. For the cases including the partially overlapping and non overlapping, the MO occasion can not be measured. Based on such principle, when the MO is partially overlapping with the associated MG and fully overlapping with the union of the Concurrent MGs, the MO can not be measured.</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2: For an MO which needs to be measured within MG, whether the MO can be measured, which only depends on the associated MG, not any relation to the other MG. </w:t>
      </w:r>
    </w:p>
    <w:p>
      <w:pPr>
        <w:pStyle w:val="4"/>
        <w:rPr>
          <w:rFonts w:hint="default" w:eastAsia="宋体"/>
          <w:color w:val="auto"/>
          <w:sz w:val="20"/>
          <w:szCs w:val="20"/>
          <w:lang w:val="en-US" w:eastAsia="zh-CN"/>
        </w:rPr>
      </w:pPr>
      <w:r>
        <w:rPr>
          <w:rFonts w:hint="eastAsia" w:eastAsia="宋体"/>
          <w:color w:val="auto"/>
          <w:sz w:val="20"/>
          <w:szCs w:val="20"/>
          <w:lang w:val="en-US" w:eastAsia="zh-CN"/>
        </w:rPr>
        <w:t>Furthermore, since the proximity condition for concurrent MGs overlapping is 4 ms, so we are wondering whether the case of an MO is partially overlapping with the associated MG but fully overlapping with the union of the concurrent MGs. Once the MO is fully overlapping with the union of the concurrent MGs, then the distance between MG1 and MG2 should be not larger than 0 ms. In such case, the collision happens between MG1 and MG2, so the priority rule would be applied, one of the MG1 and MG2 would be canceled at this occasion. After canceling, only the higher priority MG occasion is kept. So such case of MO partially overlapping with the associated MG but fully overlapping with the union of the MG1 and MG2, which does not exist based on the priority rule. No need to further discuss the FFS bullet.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of MO partially overlapping with the associated MG but fully overlapping with the union of the MG1 and MG2, which does not exist based on the priority rule. No need to further discuss.</w:t>
      </w:r>
    </w:p>
    <w:p>
      <w:pPr>
        <w:pStyle w:val="3"/>
        <w:numPr>
          <w:ilvl w:val="0"/>
          <w:numId w:val="0"/>
        </w:numPr>
        <w:bidi w:val="0"/>
        <w:ind w:leftChars="0"/>
        <w:rPr>
          <w:rFonts w:hint="default"/>
          <w:sz w:val="28"/>
          <w:szCs w:val="28"/>
          <w:lang w:val="en-US" w:eastAsia="zh-CN"/>
        </w:rPr>
      </w:pPr>
      <w:r>
        <w:rPr>
          <w:rFonts w:hint="eastAsia"/>
          <w:sz w:val="28"/>
          <w:szCs w:val="28"/>
          <w:lang w:val="en-US" w:eastAsia="zh-CN"/>
        </w:rPr>
        <w:t>2.1 NCSG</w:t>
      </w:r>
    </w:p>
    <w:p>
      <w:pPr>
        <w:pStyle w:val="4"/>
        <w:rPr>
          <w:rFonts w:hint="eastAsia" w:eastAsia="宋体"/>
          <w:color w:val="auto"/>
          <w:sz w:val="20"/>
          <w:szCs w:val="20"/>
          <w:u w:val="single"/>
          <w:lang w:val="en-US" w:eastAsia="zh-CN"/>
        </w:rPr>
      </w:pPr>
      <w:r>
        <w:rPr>
          <w:rFonts w:hint="eastAsia" w:eastAsia="宋体"/>
          <w:color w:val="auto"/>
          <w:sz w:val="20"/>
          <w:szCs w:val="20"/>
          <w:u w:val="single"/>
          <w:lang w:val="en-US" w:eastAsia="zh-CN"/>
        </w:rPr>
        <w:t>Overlap between SMTC and NCSG for measurement without MG</w:t>
      </w:r>
    </w:p>
    <w:p>
      <w:pPr>
        <w:pStyle w:val="4"/>
        <w:rPr>
          <w:rFonts w:hint="eastAsia" w:eastAsia="宋体"/>
          <w:color w:val="auto"/>
          <w:sz w:val="20"/>
          <w:szCs w:val="20"/>
          <w:lang w:val="en-US" w:eastAsia="zh-CN"/>
        </w:rPr>
      </w:pPr>
      <w:r>
        <w:rPr>
          <w:rFonts w:hint="eastAsia" w:eastAsia="宋体"/>
          <w:color w:val="auto"/>
          <w:sz w:val="20"/>
          <w:szCs w:val="20"/>
          <w:lang w:val="en-GB" w:eastAsia="zh-CN"/>
        </w:rPr>
        <w:t xml:space="preserve">In </w:t>
      </w:r>
      <w:r>
        <w:rPr>
          <w:rFonts w:hint="eastAsia" w:eastAsia="宋体"/>
          <w:color w:val="auto"/>
          <w:sz w:val="20"/>
          <w:szCs w:val="20"/>
          <w:lang w:val="en-US" w:eastAsia="zh-CN"/>
        </w:rPr>
        <w:t>current intra-frequency without MG and inter-frequency without MG of TS38.133, for the Kp, how to decide the value of Kp, for the partially overlapping case, the principle is not consistent as shown in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textAlignment w:val="baseline"/>
              <w:rPr>
                <w:rFonts w:hint="default" w:eastAsia="宋体"/>
                <w:b/>
                <w:bCs/>
                <w:i w:val="0"/>
                <w:iCs w:val="0"/>
                <w:sz w:val="20"/>
                <w:lang w:val="en-US" w:eastAsia="zh-CN"/>
              </w:rPr>
            </w:pPr>
            <w:r>
              <w:rPr>
                <w:rFonts w:hint="eastAsia" w:eastAsia="宋体"/>
                <w:b/>
                <w:bCs/>
                <w:i w:val="0"/>
                <w:iCs w:val="0"/>
                <w:sz w:val="20"/>
                <w:lang w:val="en-US" w:eastAsia="zh-CN"/>
              </w:rPr>
              <w:t>For intra-frequency measurement without MG:</w:t>
            </w:r>
          </w:p>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ind w:left="567" w:hanging="283"/>
              <w:textAlignment w:val="baseline"/>
              <w:rPr>
                <w:rFonts w:eastAsia="宋体"/>
                <w:sz w:val="20"/>
                <w:lang w:eastAsia="zh-CN"/>
              </w:rPr>
            </w:pPr>
            <w:r>
              <w:rPr>
                <w:rFonts w:eastAsia="宋体"/>
                <w:sz w:val="20"/>
                <w:lang w:eastAsia="en-GB"/>
              </w:rPr>
              <w:t>-</w:t>
            </w:r>
            <w:r>
              <w:rPr>
                <w:rFonts w:eastAsia="宋体"/>
                <w:sz w:val="20"/>
                <w:lang w:eastAsia="en-GB"/>
              </w:rPr>
              <w:tab/>
            </w:r>
            <w:r>
              <w:rPr>
                <w:rFonts w:eastAsia="宋体"/>
                <w:sz w:val="20"/>
                <w:lang w:eastAsia="en-GB"/>
              </w:rPr>
              <w:t xml:space="preserve">Otherwise, when UE is not configured with </w:t>
            </w:r>
            <w:r>
              <w:rPr>
                <w:rFonts w:eastAsia="宋体"/>
                <w:sz w:val="20"/>
                <w:lang w:eastAsia="zh-CN"/>
              </w:rPr>
              <w:t>or UE does not support concurrent measurement gaps</w:t>
            </w:r>
            <w:r>
              <w:rPr>
                <w:rFonts w:hint="eastAsia" w:eastAsia="宋体"/>
                <w:sz w:val="20"/>
                <w:lang w:eastAsia="zh-CN"/>
              </w:rPr>
              <w:t>:</w:t>
            </w:r>
          </w:p>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ind w:left="567" w:hanging="283"/>
              <w:textAlignment w:val="baseline"/>
              <w:rPr>
                <w:rFonts w:eastAsia="Times New Roman"/>
                <w:sz w:val="20"/>
                <w:lang w:eastAsia="en-GB"/>
              </w:rPr>
            </w:pPr>
            <w:r>
              <w:rPr>
                <w:rFonts w:eastAsia="Times New Roman"/>
                <w:sz w:val="20"/>
                <w:lang w:eastAsia="en-GB"/>
              </w:rPr>
              <w:tab/>
            </w:r>
            <w:r>
              <w:rPr>
                <w:rFonts w:eastAsia="Times New Roman"/>
                <w:sz w:val="20"/>
                <w:lang w:eastAsia="en-GB"/>
              </w:rPr>
              <w:t>When intra-frequency SMTC is fully non overlapping with measurement gaps or intra-frequency SMTC is fully overlapping with MGs, Kp=1</w:t>
            </w:r>
          </w:p>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ind w:left="567" w:hanging="283"/>
              <w:textAlignment w:val="baseline"/>
              <w:rPr>
                <w:rFonts w:eastAsia="Times New Roman"/>
                <w:sz w:val="20"/>
                <w:lang w:val="en-US" w:eastAsia="en-GB"/>
              </w:rPr>
            </w:pPr>
            <w:r>
              <w:rPr>
                <w:rFonts w:eastAsia="Times New Roman"/>
                <w:sz w:val="20"/>
                <w:lang w:eastAsia="en-GB"/>
              </w:rPr>
              <w:tab/>
            </w:r>
            <w:r>
              <w:rPr>
                <w:rFonts w:eastAsia="Times New Roman"/>
                <w:sz w:val="20"/>
                <w:lang w:eastAsia="en-GB"/>
              </w:rPr>
              <w:t xml:space="preserve">When intra-frequency SMTC is </w:t>
            </w:r>
            <w:r>
              <w:rPr>
                <w:rFonts w:eastAsia="Times New Roman"/>
                <w:sz w:val="20"/>
                <w:highlight w:val="yellow"/>
                <w:lang w:eastAsia="en-GB"/>
              </w:rPr>
              <w:t xml:space="preserve">partially </w:t>
            </w:r>
            <w:r>
              <w:rPr>
                <w:rFonts w:eastAsia="Times New Roman"/>
                <w:sz w:val="20"/>
                <w:lang w:eastAsia="en-GB"/>
              </w:rPr>
              <w:t xml:space="preserve">overlapping with measurement gaps, Kp = </w:t>
            </w:r>
            <w:r>
              <w:rPr>
                <w:rFonts w:eastAsia="Times New Roman"/>
                <w:sz w:val="20"/>
                <w:lang w:val="en-US" w:eastAsia="en-GB"/>
              </w:rPr>
              <w:t xml:space="preserve">1/(1- (SMTC period /MGRP)), where SMTC period &lt; MGRP. </w:t>
            </w:r>
            <w:r>
              <w:rPr>
                <w:rFonts w:eastAsia="Times New Roman"/>
                <w:sz w:val="20"/>
                <w:highlight w:val="none"/>
                <w:lang w:eastAsia="en-GB"/>
              </w:rPr>
              <w:t xml:space="preserve">When intra-frequency SMTC is partially overlapping </w:t>
            </w:r>
            <w:r>
              <w:rPr>
                <w:rFonts w:eastAsia="Times New Roman"/>
                <w:sz w:val="20"/>
                <w:highlight w:val="yellow"/>
                <w:lang w:eastAsia="en-GB"/>
              </w:rPr>
              <w:t xml:space="preserve">with the </w:t>
            </w:r>
            <w:r>
              <w:rPr>
                <w:rFonts w:hint="eastAsia" w:eastAsia="Times New Roman"/>
                <w:sz w:val="20"/>
                <w:highlight w:val="yellow"/>
                <w:lang w:eastAsia="zh-CN"/>
              </w:rPr>
              <w:t>M</w:t>
            </w:r>
            <w:r>
              <w:rPr>
                <w:rFonts w:eastAsia="Times New Roman"/>
                <w:sz w:val="20"/>
                <w:highlight w:val="yellow"/>
                <w:lang w:eastAsia="en-GB"/>
              </w:rPr>
              <w:t>L of NCSG</w:t>
            </w:r>
            <w:r>
              <w:rPr>
                <w:rFonts w:eastAsia="Times New Roman"/>
                <w:sz w:val="20"/>
                <w:highlight w:val="none"/>
                <w:lang w:eastAsia="en-GB"/>
              </w:rPr>
              <w:t xml:space="preserve">, Kp = </w:t>
            </w:r>
            <w:r>
              <w:rPr>
                <w:rFonts w:eastAsia="Times New Roman"/>
                <w:sz w:val="20"/>
                <w:highlight w:val="none"/>
                <w:lang w:val="en-US" w:eastAsia="en-GB"/>
              </w:rPr>
              <w:t>1/(1- (SMTC period /VIRP)), where SMTC period &lt; VIRP.</w:t>
            </w:r>
            <w:r>
              <w:rPr>
                <w:rFonts w:hint="eastAsia" w:eastAsia="Times New Roman"/>
                <w:sz w:val="20"/>
                <w:lang w:val="en-US" w:eastAsia="zh-CN"/>
              </w:rPr>
              <w:t xml:space="preserve"> </w:t>
            </w:r>
            <w:r>
              <w:rPr>
                <w:rFonts w:eastAsia="Times New Roman"/>
                <w:sz w:val="20"/>
                <w:lang w:eastAsia="en-GB"/>
              </w:rPr>
              <w:t xml:space="preserve">For calculation of Kp, if the high layer signalling (TS 38.331 [2]) of </w:t>
            </w:r>
            <w:r>
              <w:rPr>
                <w:rFonts w:eastAsia="Times New Roman"/>
                <w:i/>
                <w:sz w:val="20"/>
                <w:lang w:eastAsia="en-GB"/>
              </w:rPr>
              <w:t>smtc2</w:t>
            </w:r>
            <w:r>
              <w:rPr>
                <w:rFonts w:eastAsia="Times New Roman"/>
                <w:sz w:val="20"/>
                <w:lang w:eastAsia="en-GB"/>
              </w:rPr>
              <w:t xml:space="preserve"> is configured, for cells indicated in the </w:t>
            </w:r>
            <w:r>
              <w:rPr>
                <w:rFonts w:eastAsia="Times New Roman"/>
                <w:i/>
                <w:sz w:val="20"/>
                <w:lang w:eastAsia="en-GB"/>
              </w:rPr>
              <w:t>pci-List</w:t>
            </w:r>
            <w:r>
              <w:rPr>
                <w:rFonts w:eastAsia="Times New Roman"/>
                <w:sz w:val="20"/>
                <w:lang w:eastAsia="en-GB"/>
              </w:rPr>
              <w:t xml:space="preserve"> parameter in </w:t>
            </w:r>
            <w:r>
              <w:rPr>
                <w:rFonts w:eastAsia="Times New Roman"/>
                <w:i/>
                <w:sz w:val="20"/>
                <w:lang w:eastAsia="en-GB"/>
              </w:rPr>
              <w:t>smtc2</w:t>
            </w:r>
            <w:r>
              <w:rPr>
                <w:rFonts w:eastAsia="Times New Roman"/>
                <w:sz w:val="20"/>
                <w:lang w:eastAsia="en-GB"/>
              </w:rPr>
              <w:t xml:space="preserve">, the SMTC periodicity corresponds to the value of higher layer parameter </w:t>
            </w:r>
            <w:r>
              <w:rPr>
                <w:rFonts w:eastAsia="Times New Roman"/>
                <w:i/>
                <w:sz w:val="20"/>
                <w:lang w:eastAsia="en-GB"/>
              </w:rPr>
              <w:t>smtc2</w:t>
            </w:r>
            <w:r>
              <w:rPr>
                <w:rFonts w:eastAsia="Times New Roman"/>
                <w:sz w:val="20"/>
                <w:lang w:eastAsia="en-GB"/>
              </w:rPr>
              <w:t xml:space="preserve">; for the other cells, the SMTC periodicity corresponds to the value of higher layer parameter </w:t>
            </w:r>
            <w:r>
              <w:rPr>
                <w:rFonts w:eastAsia="Times New Roman"/>
                <w:i/>
                <w:sz w:val="20"/>
                <w:lang w:eastAsia="en-GB"/>
              </w:rPr>
              <w:t>smtc1.</w:t>
            </w:r>
          </w:p>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ind w:left="567" w:hanging="283"/>
              <w:textAlignment w:val="baseline"/>
              <w:rPr>
                <w:rFonts w:eastAsia="Times New Roman"/>
                <w:sz w:val="20"/>
                <w:vertAlign w:val="subscript"/>
                <w:lang w:eastAsia="en-GB"/>
              </w:rPr>
            </w:pPr>
            <w:r>
              <w:rPr>
                <w:rFonts w:eastAsia="Times New Roman"/>
                <w:sz w:val="20"/>
                <w:lang w:val="en-US" w:eastAsia="en-GB"/>
              </w:rPr>
              <w:tab/>
            </w:r>
            <w:r>
              <w:rPr>
                <w:rFonts w:eastAsia="Times New Roman"/>
                <w:sz w:val="20"/>
                <w:lang w:val="en-US" w:eastAsia="en-GB"/>
              </w:rPr>
              <w:t xml:space="preserve">If the higher layer signaling in TS38.331 [2] </w:t>
            </w:r>
            <w:r>
              <w:rPr>
                <w:rFonts w:eastAsia="Times New Roman"/>
                <w:sz w:val="20"/>
                <w:lang w:eastAsia="en-GB"/>
              </w:rPr>
              <w:t xml:space="preserve">signalling of </w:t>
            </w:r>
            <w:r>
              <w:rPr>
                <w:rFonts w:eastAsia="Times New Roman"/>
                <w:i/>
                <w:sz w:val="20"/>
                <w:lang w:eastAsia="en-GB"/>
              </w:rPr>
              <w:t>smtc2</w:t>
            </w:r>
            <w:r>
              <w:rPr>
                <w:rFonts w:eastAsia="Times New Roman"/>
                <w:sz w:val="20"/>
                <w:lang w:eastAsia="en-GB"/>
              </w:rPr>
              <w:t xml:space="preserve"> is present and smtc1 is fully overlapping with measurement gaps and smtc2 is partially overlapping with measurement gaps, requirements are not specified for T</w:t>
            </w:r>
            <w:r>
              <w:rPr>
                <w:rFonts w:eastAsia="Times New Roman"/>
                <w:sz w:val="20"/>
                <w:vertAlign w:val="subscript"/>
                <w:lang w:eastAsia="en-GB"/>
              </w:rPr>
              <w:t xml:space="preserve">identify_intra_without_index </w:t>
            </w:r>
            <w:r>
              <w:rPr>
                <w:rFonts w:eastAsia="Times New Roman"/>
                <w:sz w:val="20"/>
                <w:lang w:eastAsia="en-GB"/>
              </w:rPr>
              <w:t>or T</w:t>
            </w:r>
            <w:r>
              <w:rPr>
                <w:rFonts w:eastAsia="Times New Roman"/>
                <w:sz w:val="20"/>
                <w:vertAlign w:val="subscript"/>
                <w:lang w:eastAsia="en-GB"/>
              </w:rPr>
              <w:t>identify_intra_with_index</w:t>
            </w:r>
          </w:p>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textAlignment w:val="baseline"/>
              <w:rPr>
                <w:rFonts w:hint="default" w:eastAsia="宋体"/>
                <w:b/>
                <w:bCs/>
                <w:i w:val="0"/>
                <w:iCs w:val="0"/>
                <w:sz w:val="20"/>
                <w:lang w:val="en-US" w:eastAsia="zh-CN"/>
              </w:rPr>
            </w:pPr>
            <w:r>
              <w:rPr>
                <w:rFonts w:hint="eastAsia" w:eastAsia="宋体"/>
                <w:b/>
                <w:bCs/>
                <w:i w:val="0"/>
                <w:iCs w:val="0"/>
                <w:sz w:val="20"/>
                <w:lang w:val="en-US" w:eastAsia="zh-CN"/>
              </w:rPr>
              <w:t>For inter-frequency measurement without MG:</w:t>
            </w:r>
          </w:p>
          <w:p>
            <w:pPr>
              <w:overflowPunct w:val="0"/>
              <w:autoSpaceDE w:val="0"/>
              <w:autoSpaceDN w:val="0"/>
              <w:adjustRightInd w:val="0"/>
              <w:spacing w:before="0" w:beforeLines="0" w:after="180" w:afterLines="0"/>
              <w:textAlignment w:val="baseline"/>
              <w:rPr>
                <w:rFonts w:eastAsia="宋体"/>
                <w:sz w:val="20"/>
                <w:lang w:eastAsia="zh-CN"/>
              </w:rPr>
            </w:pPr>
            <w:r>
              <w:rPr>
                <w:rFonts w:eastAsia="宋体"/>
                <w:sz w:val="20"/>
                <w:lang w:eastAsia="en-GB"/>
              </w:rPr>
              <w:t xml:space="preserve">Otherwise, when UE is not configured with </w:t>
            </w:r>
            <w:r>
              <w:rPr>
                <w:rFonts w:eastAsia="宋体"/>
                <w:sz w:val="20"/>
                <w:lang w:eastAsia="zh-CN"/>
              </w:rPr>
              <w:t>or UE does not support concurrent measurement gaps</w:t>
            </w:r>
            <w:r>
              <w:rPr>
                <w:rFonts w:hint="eastAsia" w:eastAsia="宋体"/>
                <w:sz w:val="20"/>
                <w:lang w:eastAsia="zh-CN"/>
              </w:rPr>
              <w:t>:</w:t>
            </w:r>
          </w:p>
          <w:p>
            <w:pPr>
              <w:overflowPunct w:val="0"/>
              <w:autoSpaceDE w:val="0"/>
              <w:autoSpaceDN w:val="0"/>
              <w:adjustRightInd w:val="0"/>
              <w:spacing w:before="0" w:beforeLines="0" w:after="180" w:afterLines="0"/>
              <w:ind w:left="568" w:hanging="284"/>
              <w:textAlignment w:val="baseline"/>
              <w:rPr>
                <w:rFonts w:eastAsia="Times New Roman"/>
                <w:sz w:val="20"/>
                <w:lang w:eastAsia="zh-CN"/>
              </w:rPr>
            </w:pPr>
            <w:r>
              <w:rPr>
                <w:rFonts w:eastAsia="Times New Roman"/>
                <w:sz w:val="20"/>
                <w:lang w:eastAsia="en-GB"/>
              </w:rPr>
              <w:tab/>
            </w:r>
            <w:r>
              <w:rPr>
                <w:rFonts w:eastAsia="Times New Roman"/>
                <w:sz w:val="20"/>
                <w:lang w:eastAsia="en-GB"/>
              </w:rPr>
              <w:t xml:space="preserve">When interfrequency SMTC is fully non overlapping with measurement gaps or interfrequency SMTC is fully overlapping with MGs, </w:t>
            </w:r>
            <w:r>
              <w:rPr>
                <w:rFonts w:hint="eastAsia" w:eastAsia="Times New Roman"/>
                <w:sz w:val="20"/>
                <w:lang w:eastAsia="zh-TW"/>
              </w:rPr>
              <w:t>K</w:t>
            </w:r>
            <w:r>
              <w:rPr>
                <w:rFonts w:eastAsia="Times New Roman"/>
                <w:sz w:val="20"/>
                <w:vertAlign w:val="subscript"/>
                <w:lang w:eastAsia="zh-TW"/>
              </w:rPr>
              <w:t>p</w:t>
            </w:r>
            <w:r>
              <w:rPr>
                <w:rFonts w:eastAsia="Times New Roman"/>
                <w:sz w:val="20"/>
                <w:lang w:eastAsia="en-GB"/>
              </w:rPr>
              <w:t xml:space="preserve"> =1</w:t>
            </w:r>
            <w:r>
              <w:rPr>
                <w:rFonts w:hint="eastAsia" w:eastAsia="Times New Roman"/>
                <w:sz w:val="20"/>
                <w:lang w:eastAsia="zh-CN"/>
              </w:rPr>
              <w:t>.</w:t>
            </w:r>
          </w:p>
          <w:p>
            <w:pPr>
              <w:keepNext w:val="0"/>
              <w:keepLines w:val="0"/>
              <w:pageBreakBefore w:val="0"/>
              <w:widowControl w:val="0"/>
              <w:kinsoku/>
              <w:wordWrap/>
              <w:overflowPunct w:val="0"/>
              <w:topLinePunct w:val="0"/>
              <w:autoSpaceDE w:val="0"/>
              <w:autoSpaceDN w:val="0"/>
              <w:bidi w:val="0"/>
              <w:adjustRightInd w:val="0"/>
              <w:snapToGrid/>
              <w:spacing w:before="0" w:beforeLines="0" w:after="157" w:afterLines="50"/>
              <w:textAlignment w:val="baseline"/>
              <w:rPr>
                <w:rFonts w:eastAsia="Times New Roman"/>
                <w:sz w:val="20"/>
                <w:vertAlign w:val="subscript"/>
                <w:lang w:eastAsia="en-GB"/>
              </w:rPr>
            </w:pPr>
            <w:r>
              <w:rPr>
                <w:rFonts w:eastAsia="Times New Roman"/>
                <w:sz w:val="20"/>
                <w:lang w:eastAsia="en-GB"/>
              </w:rPr>
              <w:tab/>
            </w:r>
            <w:r>
              <w:rPr>
                <w:rFonts w:eastAsia="Times New Roman"/>
                <w:sz w:val="20"/>
                <w:lang w:eastAsia="en-GB"/>
              </w:rPr>
              <w:t xml:space="preserve">When interfrequency SMTC is </w:t>
            </w:r>
            <w:r>
              <w:rPr>
                <w:rFonts w:eastAsia="Times New Roman"/>
                <w:sz w:val="20"/>
                <w:highlight w:val="yellow"/>
                <w:lang w:eastAsia="en-GB"/>
              </w:rPr>
              <w:t xml:space="preserve">partially </w:t>
            </w:r>
            <w:r>
              <w:rPr>
                <w:rFonts w:eastAsia="Times New Roman"/>
                <w:sz w:val="20"/>
                <w:lang w:eastAsia="en-GB"/>
              </w:rPr>
              <w:t xml:space="preserve">overlapping with measurement gaps, </w:t>
            </w:r>
            <w:r>
              <w:rPr>
                <w:rFonts w:hint="eastAsia" w:eastAsia="Times New Roman"/>
                <w:sz w:val="20"/>
                <w:lang w:eastAsia="zh-TW"/>
              </w:rPr>
              <w:t>K</w:t>
            </w:r>
            <w:r>
              <w:rPr>
                <w:rFonts w:eastAsia="Times New Roman"/>
                <w:sz w:val="20"/>
                <w:vertAlign w:val="subscript"/>
                <w:lang w:eastAsia="zh-TW"/>
              </w:rPr>
              <w:t>p</w:t>
            </w:r>
            <w:r>
              <w:rPr>
                <w:rFonts w:eastAsia="Times New Roman"/>
                <w:sz w:val="20"/>
                <w:lang w:eastAsia="en-GB"/>
              </w:rPr>
              <w:t xml:space="preserve"> = 1/(1- (SMTC period /MGRP)), where SMTC period &lt; MGRP. </w:t>
            </w:r>
            <w:r>
              <w:rPr>
                <w:rFonts w:eastAsia="Times New Roman"/>
                <w:sz w:val="20"/>
                <w:highlight w:val="none"/>
                <w:lang w:eastAsia="en-GB"/>
              </w:rPr>
              <w:t xml:space="preserve">When inter-frequency SMTC is partially overlapping </w:t>
            </w:r>
            <w:r>
              <w:rPr>
                <w:rFonts w:eastAsia="Times New Roman"/>
                <w:sz w:val="20"/>
                <w:highlight w:val="yellow"/>
                <w:lang w:eastAsia="en-GB"/>
              </w:rPr>
              <w:t>with the VIL of NCSG</w:t>
            </w:r>
            <w:r>
              <w:rPr>
                <w:rFonts w:eastAsia="Times New Roman"/>
                <w:sz w:val="20"/>
                <w:highlight w:val="none"/>
                <w:lang w:eastAsia="en-GB"/>
              </w:rPr>
              <w:t xml:space="preserve">, </w:t>
            </w:r>
            <w:r>
              <w:rPr>
                <w:rFonts w:hint="eastAsia" w:eastAsia="Times New Roman"/>
                <w:sz w:val="20"/>
                <w:highlight w:val="none"/>
                <w:lang w:eastAsia="zh-TW"/>
              </w:rPr>
              <w:t>K</w:t>
            </w:r>
            <w:r>
              <w:rPr>
                <w:rFonts w:eastAsia="Times New Roman"/>
                <w:sz w:val="20"/>
                <w:highlight w:val="none"/>
                <w:vertAlign w:val="subscript"/>
                <w:lang w:eastAsia="zh-TW"/>
              </w:rPr>
              <w:t>p</w:t>
            </w:r>
            <w:r>
              <w:rPr>
                <w:rFonts w:eastAsia="Times New Roman"/>
                <w:sz w:val="20"/>
                <w:highlight w:val="none"/>
                <w:lang w:eastAsia="en-GB"/>
              </w:rPr>
              <w:t xml:space="preserve"> = </w:t>
            </w:r>
            <w:r>
              <w:rPr>
                <w:rFonts w:eastAsia="Times New Roman"/>
                <w:sz w:val="20"/>
                <w:highlight w:val="none"/>
                <w:lang w:val="en-US" w:eastAsia="en-GB"/>
              </w:rPr>
              <w:t>1/(1- (SMTC period /VIRP)), where SMTC period &lt; VIRP.</w:t>
            </w:r>
          </w:p>
        </w:tc>
      </w:tr>
    </w:tbl>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For the intra-frequency measurement, the partial overlapping case considers the ML. While for the inter-frequency measurement, the VIL is considered. </w:t>
      </w:r>
    </w:p>
    <w:p>
      <w:pPr>
        <w:pStyle w:val="4"/>
        <w:rPr>
          <w:rFonts w:hint="default" w:eastAsia="宋体"/>
          <w:color w:val="auto"/>
          <w:sz w:val="20"/>
          <w:szCs w:val="20"/>
          <w:lang w:val="en-US" w:eastAsia="zh-CN"/>
        </w:rPr>
      </w:pPr>
      <w:r>
        <w:rPr>
          <w:rFonts w:hint="eastAsia" w:eastAsia="宋体"/>
          <w:color w:val="auto"/>
          <w:sz w:val="20"/>
          <w:szCs w:val="20"/>
          <w:lang w:val="en-US" w:eastAsia="zh-CN"/>
        </w:rPr>
        <w:t>During the ML, the parallel operations between the data reception in the serving cell and the MO measured within NCSG are allowed, so if replace the data reception with intra-frequency measurement without gap, the parallel operations between intra-frequency measurement without gap and the MO measured within NCSG are also allowed from the point of UE behavior. Therefore, for the case of Kp</w:t>
      </w:r>
      <w:r>
        <w:rPr>
          <w:rFonts w:eastAsia="Times New Roman"/>
          <w:sz w:val="20"/>
          <w:highlight w:val="none"/>
          <w:lang w:eastAsia="en-GB"/>
        </w:rPr>
        <w:t xml:space="preserve"> = </w:t>
      </w:r>
      <w:r>
        <w:rPr>
          <w:rFonts w:eastAsia="Times New Roman"/>
          <w:sz w:val="20"/>
          <w:highlight w:val="none"/>
          <w:lang w:val="en-US" w:eastAsia="en-GB"/>
        </w:rPr>
        <w:t>1/(1- (SMTC period /VIRP)), where SMTC period &lt; VIRP</w:t>
      </w:r>
      <w:r>
        <w:rPr>
          <w:rFonts w:hint="eastAsia" w:eastAsia="宋体"/>
          <w:sz w:val="20"/>
          <w:highlight w:val="none"/>
          <w:lang w:val="en-US" w:eastAsia="zh-CN"/>
        </w:rPr>
        <w:t xml:space="preserve">, only the partially overlapping between intra-frequency SMTC and the </w:t>
      </w:r>
      <w:r>
        <w:rPr>
          <w:rFonts w:hint="eastAsia" w:eastAsia="宋体"/>
          <w:sz w:val="20"/>
          <w:highlight w:val="yellow"/>
          <w:lang w:val="en-US" w:eastAsia="zh-CN"/>
        </w:rPr>
        <w:t>VIL</w:t>
      </w:r>
      <w:r>
        <w:rPr>
          <w:rFonts w:hint="eastAsia" w:eastAsia="宋体"/>
          <w:sz w:val="20"/>
          <w:highlight w:val="none"/>
          <w:lang w:val="en-US" w:eastAsia="zh-CN"/>
        </w:rPr>
        <w:t xml:space="preserve"> of NCSG should be considered.</w:t>
      </w:r>
      <w:r>
        <w:rPr>
          <w:rFonts w:hint="eastAsia" w:eastAsia="宋体"/>
          <w:color w:val="auto"/>
          <w:sz w:val="20"/>
          <w:szCs w:val="20"/>
          <w:lang w:val="en-US" w:eastAsia="zh-CN"/>
        </w:rPr>
        <w:t xml:space="preserv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For the intra-frequency measurement, when intra-frequency SMTC is partially overlapping with the VIL of NCSG, Kp = 1/(1- (SMTC period /VIRP)), where SMTC period &lt; VIRP. </w:t>
      </w:r>
    </w:p>
    <w:p>
      <w:pPr>
        <w:pStyle w:val="4"/>
        <w:rPr>
          <w:rFonts w:hint="eastAsia" w:eastAsia="宋体"/>
          <w:color w:val="auto"/>
          <w:sz w:val="20"/>
          <w:szCs w:val="20"/>
          <w:lang w:val="en-US" w:eastAsia="zh-CN"/>
        </w:rPr>
      </w:pPr>
      <w:r>
        <w:rPr>
          <w:rFonts w:hint="eastAsia" w:eastAsia="宋体"/>
          <w:color w:val="auto"/>
          <w:sz w:val="20"/>
          <w:szCs w:val="20"/>
          <w:lang w:val="en-US" w:eastAsia="zh-CN"/>
        </w:rPr>
        <w:t>For the inter-frequency measurement, we are fine with the current description in 38.133. No need to revise.</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5: For the inter-frequency measurement, the current description in 38.133 is fine, no need to revise.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remaining issues on R17 MG enhancement</w:t>
      </w:r>
      <w:r>
        <w:rPr>
          <w:rFonts w:hint="eastAsia" w:eastAsia="宋体"/>
          <w:color w:val="auto"/>
          <w:sz w:val="20"/>
          <w:szCs w:val="20"/>
          <w:lang w:val="en-GB" w:eastAsia="zh-CN"/>
        </w:rPr>
        <w: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MO that can be measured outside MG and associated with an MG, the MO is measured within the associated MG only when it needs to be measured with MG. Furthermore, since align with legacy R15/16, no spec impact.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2: For an MO which needs to be measured within MG, whether the MO can be measured, which only depends on the associated MG, not any relation to the other MG.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of MO partially overlapping with the associated MG but fully overlapping with the union of the MG1 and MG2, which does not exist based on the priority rule. No need to further discuss.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For the intra-frequency measurement, when intra-frequency SMTC is partially overlapping with the VIL of NCSG, Kp = 1/(1- (SMTC period /VIRP)), where SMTC period &lt; VIRP. </w:t>
      </w:r>
    </w:p>
    <w:p>
      <w:pPr>
        <w:pStyle w:val="4"/>
        <w:rPr>
          <w:rFonts w:hint="eastAsia" w:eastAsia="宋体"/>
          <w:color w:val="auto"/>
          <w:sz w:val="20"/>
          <w:szCs w:val="20"/>
          <w:lang w:val="en-GB" w:eastAsia="zh-CN"/>
        </w:rPr>
      </w:pPr>
      <w:r>
        <w:rPr>
          <w:rFonts w:hint="eastAsia" w:eastAsia="宋体" w:cs="Times New Roman"/>
          <w:b/>
          <w:bCs/>
          <w:color w:val="auto"/>
          <w:sz w:val="20"/>
          <w:szCs w:val="20"/>
          <w:highlight w:val="none"/>
          <w:lang w:val="en-US" w:eastAsia="zh-CN" w:bidi="ar-SA"/>
        </w:rPr>
        <w:t>Proposal 5: For the inter-frequency measurement, the current description in 38.133 is fine, no need to revise.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0" w:leftChars="0" w:firstLine="0" w:firstLineChars="0"/>
        <w:rPr>
          <w:rFonts w:hint="eastAsia"/>
          <w:color w:val="auto"/>
          <w:lang w:val="en-US" w:eastAsia="zh-CN"/>
        </w:rPr>
      </w:pPr>
      <w:r>
        <w:rPr>
          <w:rFonts w:hint="eastAsia"/>
          <w:color w:val="auto"/>
          <w:lang w:val="en-US" w:eastAsia="zh-CN"/>
        </w:rPr>
        <w:t xml:space="preserve">R4-2303206 </w:t>
      </w:r>
      <w:r>
        <w:rPr>
          <w:rFonts w:hint="default"/>
          <w:color w:val="auto"/>
          <w:lang w:val="en-US" w:eastAsia="zh-CN"/>
        </w:rPr>
        <w:t>“WF on R17 NR MG enhancements RRM maintenance”</w:t>
      </w:r>
      <w:r>
        <w:rPr>
          <w:rFonts w:hint="eastAsia"/>
          <w:color w:val="auto"/>
          <w:lang w:val="en-US" w:eastAsia="zh-CN"/>
        </w:rPr>
        <w:t>, Huawei, HiSilicon, ZTE</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D7616"/>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597664"/>
    <w:rsid w:val="028B6A1D"/>
    <w:rsid w:val="028F1C3E"/>
    <w:rsid w:val="037D0CB3"/>
    <w:rsid w:val="03D4720A"/>
    <w:rsid w:val="04654053"/>
    <w:rsid w:val="04793516"/>
    <w:rsid w:val="047A3CFF"/>
    <w:rsid w:val="05317828"/>
    <w:rsid w:val="05477E90"/>
    <w:rsid w:val="05BB5AB9"/>
    <w:rsid w:val="05C42923"/>
    <w:rsid w:val="06226EA6"/>
    <w:rsid w:val="06401641"/>
    <w:rsid w:val="06963BA6"/>
    <w:rsid w:val="07CD3CDD"/>
    <w:rsid w:val="083E6EA0"/>
    <w:rsid w:val="0855671D"/>
    <w:rsid w:val="089009EB"/>
    <w:rsid w:val="08EA2407"/>
    <w:rsid w:val="09716BCA"/>
    <w:rsid w:val="099E0FAE"/>
    <w:rsid w:val="09D64B23"/>
    <w:rsid w:val="09E644B8"/>
    <w:rsid w:val="0A1C7F03"/>
    <w:rsid w:val="0A867423"/>
    <w:rsid w:val="0AB155C2"/>
    <w:rsid w:val="0B12013A"/>
    <w:rsid w:val="0B3D3C2F"/>
    <w:rsid w:val="0BB0429A"/>
    <w:rsid w:val="0BDD6CEC"/>
    <w:rsid w:val="0BFF5FC6"/>
    <w:rsid w:val="0C394019"/>
    <w:rsid w:val="0CD05342"/>
    <w:rsid w:val="0CDB4E5B"/>
    <w:rsid w:val="0CF11916"/>
    <w:rsid w:val="0D3024B8"/>
    <w:rsid w:val="0D5201AB"/>
    <w:rsid w:val="0DEE745F"/>
    <w:rsid w:val="0E2007EA"/>
    <w:rsid w:val="0ED83027"/>
    <w:rsid w:val="0F9D01A4"/>
    <w:rsid w:val="0FAD3D1E"/>
    <w:rsid w:val="10207CA1"/>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657AEC"/>
    <w:rsid w:val="17B07FBC"/>
    <w:rsid w:val="180A6E32"/>
    <w:rsid w:val="183F2CD2"/>
    <w:rsid w:val="185469B6"/>
    <w:rsid w:val="1856323E"/>
    <w:rsid w:val="185D2497"/>
    <w:rsid w:val="18AF55E3"/>
    <w:rsid w:val="18B077E2"/>
    <w:rsid w:val="18B1519A"/>
    <w:rsid w:val="18CD0507"/>
    <w:rsid w:val="18E471EF"/>
    <w:rsid w:val="18F36BA5"/>
    <w:rsid w:val="192558B8"/>
    <w:rsid w:val="195D7D48"/>
    <w:rsid w:val="1AD01A1B"/>
    <w:rsid w:val="1B61065A"/>
    <w:rsid w:val="1BBF3927"/>
    <w:rsid w:val="1BE40118"/>
    <w:rsid w:val="1C177B08"/>
    <w:rsid w:val="1C9001C6"/>
    <w:rsid w:val="1CBA2101"/>
    <w:rsid w:val="1D0573D7"/>
    <w:rsid w:val="1D153DC4"/>
    <w:rsid w:val="1D223E0B"/>
    <w:rsid w:val="1D317C9F"/>
    <w:rsid w:val="1E132F88"/>
    <w:rsid w:val="1E2867E9"/>
    <w:rsid w:val="1E853F6F"/>
    <w:rsid w:val="1E9C7BCC"/>
    <w:rsid w:val="1ECC1E3C"/>
    <w:rsid w:val="208364FC"/>
    <w:rsid w:val="208953F9"/>
    <w:rsid w:val="20AA18E5"/>
    <w:rsid w:val="21014C39"/>
    <w:rsid w:val="21244EB1"/>
    <w:rsid w:val="213964D8"/>
    <w:rsid w:val="21595D04"/>
    <w:rsid w:val="21774630"/>
    <w:rsid w:val="21E9773D"/>
    <w:rsid w:val="21F13629"/>
    <w:rsid w:val="21F81584"/>
    <w:rsid w:val="2201030F"/>
    <w:rsid w:val="223236B6"/>
    <w:rsid w:val="2255462C"/>
    <w:rsid w:val="2305377E"/>
    <w:rsid w:val="23901822"/>
    <w:rsid w:val="24122135"/>
    <w:rsid w:val="24D4257E"/>
    <w:rsid w:val="24DF00B0"/>
    <w:rsid w:val="2572202B"/>
    <w:rsid w:val="258B7C43"/>
    <w:rsid w:val="25B00E1B"/>
    <w:rsid w:val="25B643F9"/>
    <w:rsid w:val="2605683C"/>
    <w:rsid w:val="268167CC"/>
    <w:rsid w:val="26BB1419"/>
    <w:rsid w:val="27B748AA"/>
    <w:rsid w:val="27CB4CB9"/>
    <w:rsid w:val="28037E53"/>
    <w:rsid w:val="281B0617"/>
    <w:rsid w:val="281C2F58"/>
    <w:rsid w:val="282E010A"/>
    <w:rsid w:val="29642C4B"/>
    <w:rsid w:val="2A34628C"/>
    <w:rsid w:val="2A3B006D"/>
    <w:rsid w:val="2A724D05"/>
    <w:rsid w:val="2A7E505C"/>
    <w:rsid w:val="2AC85686"/>
    <w:rsid w:val="2AD04B5F"/>
    <w:rsid w:val="2AF443E5"/>
    <w:rsid w:val="2B8A3934"/>
    <w:rsid w:val="2BC05B2C"/>
    <w:rsid w:val="2BD617C5"/>
    <w:rsid w:val="2BEB05B3"/>
    <w:rsid w:val="2C112837"/>
    <w:rsid w:val="2C9B1252"/>
    <w:rsid w:val="2C9C2786"/>
    <w:rsid w:val="2CC13667"/>
    <w:rsid w:val="2D794401"/>
    <w:rsid w:val="2DF1167C"/>
    <w:rsid w:val="2E014790"/>
    <w:rsid w:val="2EE77680"/>
    <w:rsid w:val="2F2F0FC8"/>
    <w:rsid w:val="2FA70460"/>
    <w:rsid w:val="301C6BB6"/>
    <w:rsid w:val="30F11994"/>
    <w:rsid w:val="319708F2"/>
    <w:rsid w:val="31A8260E"/>
    <w:rsid w:val="31B14C9E"/>
    <w:rsid w:val="332B149D"/>
    <w:rsid w:val="33C522D7"/>
    <w:rsid w:val="344C156B"/>
    <w:rsid w:val="34807672"/>
    <w:rsid w:val="35B06C6A"/>
    <w:rsid w:val="366149EB"/>
    <w:rsid w:val="36941AA2"/>
    <w:rsid w:val="36D37423"/>
    <w:rsid w:val="37210963"/>
    <w:rsid w:val="379D23F9"/>
    <w:rsid w:val="388B255E"/>
    <w:rsid w:val="396B32D2"/>
    <w:rsid w:val="3A185287"/>
    <w:rsid w:val="3A1F46B8"/>
    <w:rsid w:val="3A692CD0"/>
    <w:rsid w:val="3AAE4AA7"/>
    <w:rsid w:val="3AF23299"/>
    <w:rsid w:val="3B155DAC"/>
    <w:rsid w:val="3B270929"/>
    <w:rsid w:val="3B3D5571"/>
    <w:rsid w:val="3B673620"/>
    <w:rsid w:val="3B9A1F29"/>
    <w:rsid w:val="3BF631F5"/>
    <w:rsid w:val="3C765285"/>
    <w:rsid w:val="3CE4646B"/>
    <w:rsid w:val="3CFC1228"/>
    <w:rsid w:val="3D14125D"/>
    <w:rsid w:val="3D5E7AA8"/>
    <w:rsid w:val="3D6F2596"/>
    <w:rsid w:val="3D946587"/>
    <w:rsid w:val="3E5F0ACE"/>
    <w:rsid w:val="3E942A37"/>
    <w:rsid w:val="3F85798B"/>
    <w:rsid w:val="405F175E"/>
    <w:rsid w:val="40C765F3"/>
    <w:rsid w:val="40FE7215"/>
    <w:rsid w:val="41E14BB8"/>
    <w:rsid w:val="42F869D2"/>
    <w:rsid w:val="43553536"/>
    <w:rsid w:val="44972678"/>
    <w:rsid w:val="451632B9"/>
    <w:rsid w:val="45262990"/>
    <w:rsid w:val="45906394"/>
    <w:rsid w:val="45B415CB"/>
    <w:rsid w:val="45F60A50"/>
    <w:rsid w:val="46142D0C"/>
    <w:rsid w:val="46263A53"/>
    <w:rsid w:val="46970A81"/>
    <w:rsid w:val="46B036BF"/>
    <w:rsid w:val="46CC320F"/>
    <w:rsid w:val="47282363"/>
    <w:rsid w:val="472C785C"/>
    <w:rsid w:val="47810C98"/>
    <w:rsid w:val="47924F0A"/>
    <w:rsid w:val="47D2373B"/>
    <w:rsid w:val="48432631"/>
    <w:rsid w:val="48F407FD"/>
    <w:rsid w:val="49DC4EAC"/>
    <w:rsid w:val="49E55BC5"/>
    <w:rsid w:val="4A5D0BB5"/>
    <w:rsid w:val="4A6B2056"/>
    <w:rsid w:val="4A912B7F"/>
    <w:rsid w:val="4B600E77"/>
    <w:rsid w:val="4B8F684D"/>
    <w:rsid w:val="4BF02011"/>
    <w:rsid w:val="4C1C63D6"/>
    <w:rsid w:val="4C2775C3"/>
    <w:rsid w:val="4C2D52ED"/>
    <w:rsid w:val="4C4B2837"/>
    <w:rsid w:val="4C864A35"/>
    <w:rsid w:val="4D207A05"/>
    <w:rsid w:val="4D53283E"/>
    <w:rsid w:val="4DA11BF2"/>
    <w:rsid w:val="4E015C76"/>
    <w:rsid w:val="4E310026"/>
    <w:rsid w:val="4E4A2325"/>
    <w:rsid w:val="4E9E6ADA"/>
    <w:rsid w:val="4FC7362A"/>
    <w:rsid w:val="501A6C55"/>
    <w:rsid w:val="50E6713C"/>
    <w:rsid w:val="51522B0F"/>
    <w:rsid w:val="515B1740"/>
    <w:rsid w:val="51B14BED"/>
    <w:rsid w:val="52526454"/>
    <w:rsid w:val="52575A99"/>
    <w:rsid w:val="525C1CEF"/>
    <w:rsid w:val="528B5767"/>
    <w:rsid w:val="52D33625"/>
    <w:rsid w:val="534273EB"/>
    <w:rsid w:val="53A3105E"/>
    <w:rsid w:val="53C64B93"/>
    <w:rsid w:val="53C65BDB"/>
    <w:rsid w:val="548A6C60"/>
    <w:rsid w:val="55B1164D"/>
    <w:rsid w:val="55B4735E"/>
    <w:rsid w:val="55BB221D"/>
    <w:rsid w:val="56371459"/>
    <w:rsid w:val="56484633"/>
    <w:rsid w:val="57FF4799"/>
    <w:rsid w:val="58D0053D"/>
    <w:rsid w:val="59165279"/>
    <w:rsid w:val="595A2A3C"/>
    <w:rsid w:val="598C40A0"/>
    <w:rsid w:val="59DA647E"/>
    <w:rsid w:val="5A556E1A"/>
    <w:rsid w:val="5BA06278"/>
    <w:rsid w:val="5BF92FF2"/>
    <w:rsid w:val="5C924E81"/>
    <w:rsid w:val="5E2864D0"/>
    <w:rsid w:val="5E494511"/>
    <w:rsid w:val="5EB44FC0"/>
    <w:rsid w:val="5F5D3CFF"/>
    <w:rsid w:val="5FBA395F"/>
    <w:rsid w:val="60094E5C"/>
    <w:rsid w:val="606F38F4"/>
    <w:rsid w:val="60EC2CBA"/>
    <w:rsid w:val="61CC2D28"/>
    <w:rsid w:val="63431026"/>
    <w:rsid w:val="635902CD"/>
    <w:rsid w:val="64706BBE"/>
    <w:rsid w:val="64F2095B"/>
    <w:rsid w:val="65A16A49"/>
    <w:rsid w:val="662F3E67"/>
    <w:rsid w:val="674E154D"/>
    <w:rsid w:val="67A858DB"/>
    <w:rsid w:val="67FE4166"/>
    <w:rsid w:val="684A154D"/>
    <w:rsid w:val="688E0EBE"/>
    <w:rsid w:val="68C401C3"/>
    <w:rsid w:val="69A833BD"/>
    <w:rsid w:val="69EF6835"/>
    <w:rsid w:val="6BD10CF1"/>
    <w:rsid w:val="6D566F0F"/>
    <w:rsid w:val="6D836F72"/>
    <w:rsid w:val="6DDE3DAF"/>
    <w:rsid w:val="6E3241BE"/>
    <w:rsid w:val="6EB97A9D"/>
    <w:rsid w:val="6EEC187D"/>
    <w:rsid w:val="6EF10A90"/>
    <w:rsid w:val="6EFC7DED"/>
    <w:rsid w:val="6F077DB2"/>
    <w:rsid w:val="6F2A7FBF"/>
    <w:rsid w:val="6FEB76BE"/>
    <w:rsid w:val="6FFF1868"/>
    <w:rsid w:val="70025DE4"/>
    <w:rsid w:val="715F4C2D"/>
    <w:rsid w:val="722F78FB"/>
    <w:rsid w:val="723C2F8E"/>
    <w:rsid w:val="723D67C5"/>
    <w:rsid w:val="726A5F44"/>
    <w:rsid w:val="72793AC9"/>
    <w:rsid w:val="72BF60CA"/>
    <w:rsid w:val="72F41282"/>
    <w:rsid w:val="733D0D32"/>
    <w:rsid w:val="73B76769"/>
    <w:rsid w:val="73D411F1"/>
    <w:rsid w:val="748C4434"/>
    <w:rsid w:val="74A356B2"/>
    <w:rsid w:val="753811DE"/>
    <w:rsid w:val="75BE67D4"/>
    <w:rsid w:val="75C2004C"/>
    <w:rsid w:val="75C759C1"/>
    <w:rsid w:val="760C6C08"/>
    <w:rsid w:val="76281B03"/>
    <w:rsid w:val="762D64F3"/>
    <w:rsid w:val="762E20AD"/>
    <w:rsid w:val="767E7EFF"/>
    <w:rsid w:val="775B4604"/>
    <w:rsid w:val="77C067C3"/>
    <w:rsid w:val="77E23494"/>
    <w:rsid w:val="77FC6F68"/>
    <w:rsid w:val="78074939"/>
    <w:rsid w:val="78911E31"/>
    <w:rsid w:val="78F9732D"/>
    <w:rsid w:val="7922350F"/>
    <w:rsid w:val="792B5470"/>
    <w:rsid w:val="79365B60"/>
    <w:rsid w:val="79FF29F1"/>
    <w:rsid w:val="7A9367CB"/>
    <w:rsid w:val="7AF22571"/>
    <w:rsid w:val="7B0720CF"/>
    <w:rsid w:val="7B4C0E47"/>
    <w:rsid w:val="7B69224B"/>
    <w:rsid w:val="7BB227FC"/>
    <w:rsid w:val="7BE51C69"/>
    <w:rsid w:val="7BE80F25"/>
    <w:rsid w:val="7C1C35A7"/>
    <w:rsid w:val="7C45431D"/>
    <w:rsid w:val="7D25352B"/>
    <w:rsid w:val="7D3219D5"/>
    <w:rsid w:val="7DDD0501"/>
    <w:rsid w:val="7DE51372"/>
    <w:rsid w:val="7DE5466E"/>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2023-05-15T14:30:58Z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